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60E62CD6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І</w:t>
      </w:r>
      <w:r w:rsidR="0068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</w:t>
      </w:r>
      <w:r w:rsidR="0023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E9089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180A4DD7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2F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683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202</w:t>
      </w:r>
      <w:r w:rsidR="00236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Підприємство планувало отримати доходи в загальній сумі </w:t>
      </w:r>
      <w:r w:rsidR="00683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9388,8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8855,5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1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0C3EA4" w14:textId="22384EC3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683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2360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71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складає </w:t>
      </w:r>
      <w:r w:rsidR="0068313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8855,5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6E8075FD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5834,2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29AD1A82" w14:textId="6B2F499D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2461,5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57DFEAD4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68313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557,6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0175A00F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2360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31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надходження благодійної допомоги;</w:t>
      </w:r>
    </w:p>
    <w:p w14:paraId="469D9F57" w14:textId="02B1AF09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33307860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68313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8507,6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074CA666" w14:textId="6853D565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5019,2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792,3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="0068313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8313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13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313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; 4226,9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E1CBC0" w14:textId="57D1F908" w:rsidR="00236017" w:rsidRPr="0065362B" w:rsidRDefault="009D5669" w:rsidP="00236017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1072</w:t>
      </w:r>
      <w:r w:rsidR="00236017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2" w:name="_Hlk70586192"/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174,3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="0068313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8313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13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313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; 898,5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68313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6017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2"/>
    <w:p w14:paraId="485BCA79" w14:textId="785AC99D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332,6</w:t>
      </w:r>
      <w:r w:rsidR="0023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тис.грн. (з них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99,3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229,5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3,8 тис. грн. за рахунок благодійних надходжень);</w:t>
      </w:r>
    </w:p>
    <w:p w14:paraId="047364B2" w14:textId="6098EBE7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518</w:t>
      </w:r>
      <w:r w:rsidR="0023601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209,6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235,3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73,5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6C0C1746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152,7</w:t>
      </w:r>
      <w:r w:rsidR="000E2234" w:rsidRP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 w:rsidRP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4B0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624B0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24B0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0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24B0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0BA17282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663,1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311,9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95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95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0895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="0095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9529F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95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262,4 тис.грн. за ремонт фізкабінету та </w:t>
      </w:r>
      <w:r w:rsidR="009529FF" w:rsidRPr="005F0D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49,</w:t>
      </w:r>
      <w:r w:rsidR="00861767" w:rsidRPr="005F0D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="009529FF" w:rsidRPr="005F0D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9529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529FF">
        <w:rPr>
          <w:rFonts w:ascii="Times New Roman" w:eastAsia="Times New Roman" w:hAnsi="Times New Roman" w:cs="Times New Roman"/>
          <w:sz w:val="28"/>
          <w:szCs w:val="28"/>
          <w:lang w:eastAsia="ru-RU"/>
        </w:rPr>
        <w:t>. інші поточні послуги)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320,9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30,2</w:t>
      </w:r>
      <w:r w:rsidR="008F3888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8F3888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8F38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14:paraId="5A4A275F" w14:textId="71FA0C61" w:rsidR="00714536" w:rsidRPr="00714536" w:rsidRDefault="00714536" w:rsidP="007145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на відрядження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017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</w:t>
      </w:r>
      <w:r w:rsidR="002360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8E5C31" w14:textId="6A040C30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650,3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1DC7E9E4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44,7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69320BF1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48,2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0,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8313A">
        <w:rPr>
          <w:rFonts w:ascii="Times New Roman" w:eastAsia="Times New Roman" w:hAnsi="Times New Roman" w:cs="Times New Roman"/>
          <w:sz w:val="28"/>
          <w:szCs w:val="28"/>
          <w:lang w:eastAsia="ru-RU"/>
        </w:rPr>
        <w:t>47,5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(перераховано податок ПДВ, так як заклад являється платником даного виду оподаткування) за рахунок власних коштів (дохо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 від операційної діяльності).</w:t>
      </w:r>
    </w:p>
    <w:bookmarkEnd w:id="0"/>
    <w:p w14:paraId="27EF3A86" w14:textId="77777777" w:rsidR="008F3888" w:rsidRDefault="008F3888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9E5BD07" w14:textId="13DD32B6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DB8FF06" w14:textId="64986B8A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3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1844,8</w:t>
      </w:r>
      <w:r w:rsidR="000E22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65828350" w14:textId="4B29BD17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6831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1559,4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5ED587C9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1A2">
        <w:rPr>
          <w:rFonts w:ascii="Times New Roman" w:eastAsia="Times New Roman" w:hAnsi="Times New Roman" w:cs="Times New Roman"/>
          <w:sz w:val="28"/>
          <w:szCs w:val="28"/>
          <w:lang w:eastAsia="ru-RU"/>
        </w:rPr>
        <w:t>285,2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11A007B1" w14:textId="0DA32C71" w:rsidR="000E22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рахунок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надійшли як благодійна допомога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1A2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3499CF8A" w14:textId="0E92E001" w:rsidR="009D5669" w:rsidRPr="00724A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3CE6A9C9" w14:textId="5AA75CEE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01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3C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працівників (фізичних осіб) – 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E3C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7E00CB08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4801A2">
        <w:rPr>
          <w:rFonts w:ascii="Times New Roman" w:eastAsia="Times New Roman" w:hAnsi="Times New Roman" w:cs="Times New Roman"/>
          <w:sz w:val="28"/>
          <w:szCs w:val="28"/>
          <w:lang w:eastAsia="ru-RU"/>
        </w:rPr>
        <w:t>19271,0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5DA99EB4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353E1"/>
    <w:rsid w:val="00073162"/>
    <w:rsid w:val="00083F64"/>
    <w:rsid w:val="000E2234"/>
    <w:rsid w:val="000F2D3D"/>
    <w:rsid w:val="00111FD1"/>
    <w:rsid w:val="00152B07"/>
    <w:rsid w:val="001641F7"/>
    <w:rsid w:val="001A2446"/>
    <w:rsid w:val="001E3CD0"/>
    <w:rsid w:val="00200610"/>
    <w:rsid w:val="00202862"/>
    <w:rsid w:val="00224B2A"/>
    <w:rsid w:val="002255DF"/>
    <w:rsid w:val="00236017"/>
    <w:rsid w:val="00246C28"/>
    <w:rsid w:val="002533AD"/>
    <w:rsid w:val="00270022"/>
    <w:rsid w:val="002D17CD"/>
    <w:rsid w:val="002E1227"/>
    <w:rsid w:val="002F272E"/>
    <w:rsid w:val="002F7365"/>
    <w:rsid w:val="00303E71"/>
    <w:rsid w:val="00311570"/>
    <w:rsid w:val="00314F10"/>
    <w:rsid w:val="00353D06"/>
    <w:rsid w:val="003B181D"/>
    <w:rsid w:val="003B71ED"/>
    <w:rsid w:val="003C1478"/>
    <w:rsid w:val="003E18A8"/>
    <w:rsid w:val="003E4D5D"/>
    <w:rsid w:val="003F5235"/>
    <w:rsid w:val="004200BB"/>
    <w:rsid w:val="00446B2F"/>
    <w:rsid w:val="004547BC"/>
    <w:rsid w:val="004801A2"/>
    <w:rsid w:val="004941B7"/>
    <w:rsid w:val="004A5A84"/>
    <w:rsid w:val="004D4B77"/>
    <w:rsid w:val="0050785F"/>
    <w:rsid w:val="00552516"/>
    <w:rsid w:val="00554BFD"/>
    <w:rsid w:val="005A188C"/>
    <w:rsid w:val="005B7A8D"/>
    <w:rsid w:val="005F0D48"/>
    <w:rsid w:val="005F3E26"/>
    <w:rsid w:val="00624B0A"/>
    <w:rsid w:val="0065362B"/>
    <w:rsid w:val="006548D9"/>
    <w:rsid w:val="00661F2A"/>
    <w:rsid w:val="00680D2E"/>
    <w:rsid w:val="0068313A"/>
    <w:rsid w:val="00687745"/>
    <w:rsid w:val="00696B4C"/>
    <w:rsid w:val="006F3F49"/>
    <w:rsid w:val="00714536"/>
    <w:rsid w:val="00724A34"/>
    <w:rsid w:val="00724DDA"/>
    <w:rsid w:val="007731EB"/>
    <w:rsid w:val="007929D5"/>
    <w:rsid w:val="007F6F7C"/>
    <w:rsid w:val="00803029"/>
    <w:rsid w:val="00821125"/>
    <w:rsid w:val="0083784B"/>
    <w:rsid w:val="00861767"/>
    <w:rsid w:val="008657FC"/>
    <w:rsid w:val="00893412"/>
    <w:rsid w:val="008C4E58"/>
    <w:rsid w:val="008F2E82"/>
    <w:rsid w:val="008F3888"/>
    <w:rsid w:val="009529FF"/>
    <w:rsid w:val="00970BAB"/>
    <w:rsid w:val="009B7815"/>
    <w:rsid w:val="009D5669"/>
    <w:rsid w:val="009D6D2E"/>
    <w:rsid w:val="009F75E7"/>
    <w:rsid w:val="00A1029A"/>
    <w:rsid w:val="00A10BA3"/>
    <w:rsid w:val="00A829A7"/>
    <w:rsid w:val="00A82D2F"/>
    <w:rsid w:val="00A83DEF"/>
    <w:rsid w:val="00AC34A2"/>
    <w:rsid w:val="00AC71F6"/>
    <w:rsid w:val="00AE6B17"/>
    <w:rsid w:val="00B12313"/>
    <w:rsid w:val="00B22A81"/>
    <w:rsid w:val="00B428A4"/>
    <w:rsid w:val="00B613A0"/>
    <w:rsid w:val="00B96938"/>
    <w:rsid w:val="00B96CE1"/>
    <w:rsid w:val="00BA1192"/>
    <w:rsid w:val="00BC114B"/>
    <w:rsid w:val="00BD2A62"/>
    <w:rsid w:val="00BE6D1A"/>
    <w:rsid w:val="00C02FFD"/>
    <w:rsid w:val="00CB45E4"/>
    <w:rsid w:val="00D1199B"/>
    <w:rsid w:val="00D53B7F"/>
    <w:rsid w:val="00DC6108"/>
    <w:rsid w:val="00DD0CB0"/>
    <w:rsid w:val="00DF153B"/>
    <w:rsid w:val="00DF16B6"/>
    <w:rsid w:val="00E000B5"/>
    <w:rsid w:val="00E24883"/>
    <w:rsid w:val="00E72477"/>
    <w:rsid w:val="00E80BD4"/>
    <w:rsid w:val="00E90895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3</cp:revision>
  <cp:lastPrinted>2022-12-05T16:41:00Z</cp:lastPrinted>
  <dcterms:created xsi:type="dcterms:W3CDTF">2024-09-06T05:32:00Z</dcterms:created>
  <dcterms:modified xsi:type="dcterms:W3CDTF">2024-09-06T05:33:00Z</dcterms:modified>
</cp:coreProperties>
</file>